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B1F64" w14:textId="77777777" w:rsidR="00D43431" w:rsidRDefault="00D43431" w:rsidP="00D43431">
      <w:pPr>
        <w:spacing w:line="480" w:lineRule="auto"/>
        <w:jc w:val="center"/>
        <w:rPr>
          <w:rFonts w:ascii="Times New Roman" w:hAnsi="Times New Roman" w:cs="Times New Roman"/>
          <w:bCs/>
          <w:sz w:val="24"/>
          <w:szCs w:val="24"/>
          <w:lang w:val="en-KE"/>
        </w:rPr>
      </w:pPr>
    </w:p>
    <w:p w14:paraId="64880DA1" w14:textId="77777777" w:rsidR="00D43431" w:rsidRDefault="00D43431" w:rsidP="00D43431">
      <w:pPr>
        <w:spacing w:line="480" w:lineRule="auto"/>
        <w:jc w:val="center"/>
        <w:rPr>
          <w:rFonts w:ascii="Times New Roman" w:hAnsi="Times New Roman" w:cs="Times New Roman"/>
          <w:bCs/>
          <w:sz w:val="24"/>
          <w:szCs w:val="24"/>
          <w:lang w:val="en-KE"/>
        </w:rPr>
      </w:pPr>
    </w:p>
    <w:p w14:paraId="0C289FFD" w14:textId="5AEB1BF0" w:rsidR="00D43431" w:rsidRDefault="00D43431" w:rsidP="00D43431">
      <w:pPr>
        <w:spacing w:line="480" w:lineRule="auto"/>
        <w:jc w:val="center"/>
        <w:rPr>
          <w:rFonts w:ascii="Times New Roman" w:hAnsi="Times New Roman" w:cs="Times New Roman"/>
          <w:bCs/>
          <w:sz w:val="24"/>
          <w:szCs w:val="24"/>
          <w:lang w:val="en-KE"/>
        </w:rPr>
      </w:pPr>
    </w:p>
    <w:p w14:paraId="089B9A09" w14:textId="77777777" w:rsidR="00D43431" w:rsidRDefault="00D43431" w:rsidP="00D43431">
      <w:pPr>
        <w:spacing w:line="480" w:lineRule="auto"/>
        <w:jc w:val="center"/>
        <w:rPr>
          <w:rFonts w:ascii="Times New Roman" w:hAnsi="Times New Roman" w:cs="Times New Roman"/>
          <w:bCs/>
          <w:sz w:val="24"/>
          <w:szCs w:val="24"/>
          <w:lang w:val="en-KE"/>
        </w:rPr>
      </w:pPr>
    </w:p>
    <w:p w14:paraId="28CFB641" w14:textId="77777777" w:rsidR="00D43431" w:rsidRDefault="00D43431" w:rsidP="00D43431">
      <w:pPr>
        <w:spacing w:line="480" w:lineRule="auto"/>
        <w:jc w:val="center"/>
        <w:rPr>
          <w:rFonts w:ascii="Times New Roman" w:hAnsi="Times New Roman" w:cs="Times New Roman"/>
          <w:bCs/>
          <w:sz w:val="24"/>
          <w:szCs w:val="24"/>
          <w:lang w:val="en-KE"/>
        </w:rPr>
      </w:pPr>
    </w:p>
    <w:p w14:paraId="3B58B9B6" w14:textId="0D8E57EC" w:rsidR="00187F9F" w:rsidRDefault="00187F9F" w:rsidP="00D43431">
      <w:pPr>
        <w:spacing w:line="480" w:lineRule="auto"/>
        <w:jc w:val="center"/>
        <w:rPr>
          <w:rFonts w:ascii="Times New Roman" w:hAnsi="Times New Roman" w:cs="Times New Roman"/>
          <w:bCs/>
          <w:sz w:val="24"/>
          <w:szCs w:val="24"/>
          <w:lang w:val="en-KE"/>
        </w:rPr>
      </w:pPr>
      <w:r w:rsidRPr="00187F9F">
        <w:rPr>
          <w:rFonts w:ascii="Times New Roman" w:hAnsi="Times New Roman" w:cs="Times New Roman"/>
          <w:bCs/>
          <w:sz w:val="24"/>
          <w:szCs w:val="24"/>
          <w:lang w:val="en-KE"/>
        </w:rPr>
        <w:t xml:space="preserve">Reading Response on </w:t>
      </w:r>
      <w:r w:rsidR="00841147">
        <w:rPr>
          <w:rFonts w:ascii="Times New Roman" w:hAnsi="Times New Roman" w:cs="Times New Roman"/>
          <w:bCs/>
          <w:sz w:val="24"/>
          <w:szCs w:val="24"/>
          <w:lang w:val="en-KE"/>
        </w:rPr>
        <w:t>“</w:t>
      </w:r>
      <w:r w:rsidRPr="00187F9F">
        <w:rPr>
          <w:rFonts w:ascii="Times New Roman" w:hAnsi="Times New Roman" w:cs="Times New Roman"/>
          <w:bCs/>
          <w:sz w:val="24"/>
          <w:szCs w:val="24"/>
          <w:lang w:val="en-KE"/>
        </w:rPr>
        <w:t>Vitruvius and the Education of the Architect</w:t>
      </w:r>
      <w:r w:rsidR="00841147">
        <w:rPr>
          <w:rFonts w:ascii="Times New Roman" w:hAnsi="Times New Roman" w:cs="Times New Roman"/>
          <w:bCs/>
          <w:sz w:val="24"/>
          <w:szCs w:val="24"/>
          <w:lang w:val="en-KE"/>
        </w:rPr>
        <w:t>”</w:t>
      </w:r>
    </w:p>
    <w:p w14:paraId="61DA9BA8" w14:textId="04CC83D9" w:rsidR="00735DE8" w:rsidRDefault="00735DE8" w:rsidP="00D4343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0D99D48D" w14:textId="77777777" w:rsidR="00735DE8" w:rsidRDefault="00735DE8" w:rsidP="00D4343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828C384" w14:textId="77777777" w:rsidR="00D43431" w:rsidRDefault="00D43431" w:rsidP="00D43431">
      <w:pPr>
        <w:spacing w:line="480" w:lineRule="auto"/>
        <w:jc w:val="center"/>
        <w:rPr>
          <w:rFonts w:ascii="Times New Roman" w:hAnsi="Times New Roman" w:cs="Times New Roman"/>
          <w:bCs/>
          <w:sz w:val="24"/>
          <w:szCs w:val="24"/>
          <w:lang w:val="en-KE"/>
        </w:rPr>
      </w:pPr>
      <w:r>
        <w:rPr>
          <w:rFonts w:ascii="Times New Roman" w:hAnsi="Times New Roman" w:cs="Times New Roman"/>
          <w:bCs/>
          <w:sz w:val="24"/>
          <w:szCs w:val="24"/>
          <w:lang w:val="en-KE"/>
        </w:rPr>
        <w:br w:type="page"/>
      </w:r>
    </w:p>
    <w:p w14:paraId="7F82863F" w14:textId="0F62461F" w:rsidR="00735DE8" w:rsidRDefault="00735DE8" w:rsidP="00D43431">
      <w:pPr>
        <w:spacing w:line="480" w:lineRule="auto"/>
        <w:jc w:val="center"/>
        <w:rPr>
          <w:rFonts w:ascii="Times New Roman" w:hAnsi="Times New Roman" w:cs="Times New Roman"/>
          <w:bCs/>
          <w:sz w:val="24"/>
          <w:szCs w:val="24"/>
          <w:lang w:val="en-KE"/>
        </w:rPr>
      </w:pPr>
      <w:r w:rsidRPr="00187F9F">
        <w:rPr>
          <w:rFonts w:ascii="Times New Roman" w:hAnsi="Times New Roman" w:cs="Times New Roman"/>
          <w:bCs/>
          <w:sz w:val="24"/>
          <w:szCs w:val="24"/>
          <w:lang w:val="en-KE"/>
        </w:rPr>
        <w:lastRenderedPageBreak/>
        <w:t xml:space="preserve">Reading Response on </w:t>
      </w:r>
      <w:r w:rsidR="00841147">
        <w:rPr>
          <w:rFonts w:ascii="Times New Roman" w:hAnsi="Times New Roman" w:cs="Times New Roman"/>
          <w:bCs/>
          <w:sz w:val="24"/>
          <w:szCs w:val="24"/>
          <w:lang w:val="en-KE"/>
        </w:rPr>
        <w:t>“</w:t>
      </w:r>
      <w:r w:rsidRPr="00187F9F">
        <w:rPr>
          <w:rFonts w:ascii="Times New Roman" w:hAnsi="Times New Roman" w:cs="Times New Roman"/>
          <w:bCs/>
          <w:sz w:val="24"/>
          <w:szCs w:val="24"/>
          <w:lang w:val="en-KE"/>
        </w:rPr>
        <w:t>Vitruvius and the Education of the Architect</w:t>
      </w:r>
      <w:r w:rsidR="00841147">
        <w:rPr>
          <w:rFonts w:ascii="Times New Roman" w:hAnsi="Times New Roman" w:cs="Times New Roman"/>
          <w:bCs/>
          <w:sz w:val="24"/>
          <w:szCs w:val="24"/>
          <w:lang w:val="en-KE"/>
        </w:rPr>
        <w:t>”</w:t>
      </w:r>
    </w:p>
    <w:p w14:paraId="3948FAFF" w14:textId="461F0E5D" w:rsidR="00B02245" w:rsidRDefault="00187F9F" w:rsidP="00D43431">
      <w:pPr>
        <w:spacing w:line="480" w:lineRule="auto"/>
        <w:ind w:firstLine="720"/>
        <w:rPr>
          <w:rFonts w:ascii="Times New Roman" w:hAnsi="Times New Roman" w:cs="Times New Roman"/>
          <w:sz w:val="24"/>
          <w:szCs w:val="24"/>
          <w:lang w:val="en-US"/>
        </w:rPr>
      </w:pPr>
      <w:r w:rsidRPr="00187F9F">
        <w:rPr>
          <w:rFonts w:ascii="Times New Roman" w:hAnsi="Times New Roman" w:cs="Times New Roman"/>
          <w:sz w:val="24"/>
          <w:szCs w:val="24"/>
          <w:lang w:val="en-US"/>
        </w:rPr>
        <w:t xml:space="preserve">In “Vitruvius and the Education of the Architect”, Amir Bani-Masoud attempts to describe the education of an architect in ancient Rome as explained in a treatise on architecture created by Marcus Vitruvius called De Architectura. The author briefly highlights the origin of the word architecture and early connections between architecture and liberal arts. Subsequently, </w:t>
      </w:r>
      <w:r w:rsidR="00A6711E">
        <w:rPr>
          <w:rFonts w:ascii="Times New Roman" w:hAnsi="Times New Roman" w:cs="Times New Roman"/>
          <w:sz w:val="24"/>
          <w:szCs w:val="24"/>
          <w:lang w:val="en-US"/>
        </w:rPr>
        <w:t>Bani-Masoud</w:t>
      </w:r>
      <w:r w:rsidRPr="00187F9F">
        <w:rPr>
          <w:rFonts w:ascii="Times New Roman" w:hAnsi="Times New Roman" w:cs="Times New Roman"/>
          <w:sz w:val="24"/>
          <w:szCs w:val="24"/>
          <w:lang w:val="en-US"/>
        </w:rPr>
        <w:t xml:space="preserve"> elaborates Vitruvius’s suggestion that </w:t>
      </w:r>
      <w:r w:rsidR="00841147">
        <w:rPr>
          <w:rFonts w:ascii="Times New Roman" w:hAnsi="Times New Roman" w:cs="Times New Roman"/>
          <w:sz w:val="24"/>
          <w:szCs w:val="24"/>
          <w:lang w:val="en-US"/>
        </w:rPr>
        <w:t>an architect’s education</w:t>
      </w:r>
      <w:r w:rsidRPr="00187F9F">
        <w:rPr>
          <w:rFonts w:ascii="Times New Roman" w:hAnsi="Times New Roman" w:cs="Times New Roman"/>
          <w:sz w:val="24"/>
          <w:szCs w:val="24"/>
          <w:lang w:val="en-US"/>
        </w:rPr>
        <w:t xml:space="preserve"> entails knowledge gained from practical experience and theory, together with other fields of study. Afterward, the author elucidates nine fields of study that are crucial to the education of an architect as recommended by Vitruvius, which include writing, drawing, geometry, history, philosophy, music, medicine, astronomy, and law. While knowledge of drawing enables the architect to describe the architecture, he also needs to be skilled in using tools to make correct drawings and apply the appropriate proportions, positions, and symmetry, which can be learned from geometry, music, and astronomy. History contributes to the meaning of the various ornaments used by an architect, while medicine, law, and philosophy contribute to the architect’s knowledge of the materials to be used, the legal regulations concerning architecture, and his virtues</w:t>
      </w:r>
      <w:r w:rsidR="00841147">
        <w:rPr>
          <w:rFonts w:ascii="Times New Roman" w:hAnsi="Times New Roman" w:cs="Times New Roman"/>
          <w:sz w:val="24"/>
          <w:szCs w:val="24"/>
          <w:lang w:val="en-US"/>
        </w:rPr>
        <w:t>,</w:t>
      </w:r>
      <w:r w:rsidRPr="00187F9F">
        <w:rPr>
          <w:rFonts w:ascii="Times New Roman" w:hAnsi="Times New Roman" w:cs="Times New Roman"/>
          <w:sz w:val="24"/>
          <w:szCs w:val="24"/>
          <w:lang w:val="en-US"/>
        </w:rPr>
        <w:t xml:space="preserve"> respectively.</w:t>
      </w:r>
    </w:p>
    <w:p w14:paraId="46AD39F6" w14:textId="3076F0A2" w:rsidR="00B02245" w:rsidRDefault="00A6711E" w:rsidP="00D4343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Bani-Masoud</w:t>
      </w:r>
      <w:r w:rsidR="00187F9F" w:rsidRPr="00187F9F">
        <w:rPr>
          <w:rFonts w:ascii="Times New Roman" w:hAnsi="Times New Roman" w:cs="Times New Roman"/>
          <w:sz w:val="24"/>
          <w:szCs w:val="24"/>
          <w:lang w:val="en-US"/>
        </w:rPr>
        <w:t xml:space="preserve">’s main argument is that some of the earliest perspectives regarding the education of an architect laid the foundation for several aspects of modern architectural education and learning. To support his argument, the author goes back in time to Vitruvius’s perspective concerning the education of an architect in the first century Before the Common Era (BCE). According to Vitruvius, good architectural education should include various aspects such as the combination of practice and theoretical knowledge, as well as crucial knowledge drawn from other areas of learning such as geometry, astronomy, philosophy, and other fields. He then shows how these ideas contributed to our modern perception of architecture as a branch of science that relates to both liberal and mathematical arts since </w:t>
      </w:r>
      <w:r w:rsidR="00187F9F" w:rsidRPr="00187F9F">
        <w:rPr>
          <w:rFonts w:ascii="Times New Roman" w:hAnsi="Times New Roman" w:cs="Times New Roman"/>
          <w:sz w:val="24"/>
          <w:szCs w:val="24"/>
          <w:lang w:val="en-US"/>
        </w:rPr>
        <w:lastRenderedPageBreak/>
        <w:t>Vitruvius’s recommendations set the basis for viewing architecture as building science in which both the design and construction aspects must have a rationale (</w:t>
      </w:r>
      <w:r>
        <w:rPr>
          <w:rFonts w:ascii="Times New Roman" w:hAnsi="Times New Roman" w:cs="Times New Roman"/>
          <w:sz w:val="24"/>
          <w:szCs w:val="24"/>
          <w:lang w:val="en-US"/>
        </w:rPr>
        <w:t>Bani-Masoud</w:t>
      </w:r>
      <w:r w:rsidR="00187F9F" w:rsidRPr="00187F9F">
        <w:rPr>
          <w:rFonts w:ascii="Times New Roman" w:hAnsi="Times New Roman" w:cs="Times New Roman"/>
          <w:sz w:val="24"/>
          <w:szCs w:val="24"/>
          <w:lang w:val="en-US"/>
        </w:rPr>
        <w:t>, 2016). Additionally, he shows that Vitruvius’s recommendations led to the incorporation of knowledge from other areas of learning in the education of an architect as is done in the modern context. For instance, modern architectural education focuses on design, construction, and history, which draw from different fields of study</w:t>
      </w:r>
      <w:r w:rsidR="00841147">
        <w:rPr>
          <w:rFonts w:ascii="Times New Roman" w:hAnsi="Times New Roman" w:cs="Times New Roman"/>
          <w:sz w:val="24"/>
          <w:szCs w:val="24"/>
          <w:lang w:val="en-US"/>
        </w:rPr>
        <w:t>,</w:t>
      </w:r>
      <w:r w:rsidR="00187F9F" w:rsidRPr="00187F9F">
        <w:rPr>
          <w:rFonts w:ascii="Times New Roman" w:hAnsi="Times New Roman" w:cs="Times New Roman"/>
          <w:sz w:val="24"/>
          <w:szCs w:val="24"/>
          <w:lang w:val="en-US"/>
        </w:rPr>
        <w:t xml:space="preserve"> such as geometry and historical studies (Riscica, 2021). Therefore, </w:t>
      </w:r>
      <w:r>
        <w:rPr>
          <w:rFonts w:ascii="Times New Roman" w:hAnsi="Times New Roman" w:cs="Times New Roman"/>
          <w:sz w:val="24"/>
          <w:szCs w:val="24"/>
          <w:lang w:val="en-US"/>
        </w:rPr>
        <w:t>Bani-Masoud</w:t>
      </w:r>
      <w:r w:rsidR="00187F9F" w:rsidRPr="00187F9F">
        <w:rPr>
          <w:rFonts w:ascii="Times New Roman" w:hAnsi="Times New Roman" w:cs="Times New Roman"/>
          <w:sz w:val="24"/>
          <w:szCs w:val="24"/>
          <w:lang w:val="en-US"/>
        </w:rPr>
        <w:t xml:space="preserve"> successfully points out how Vitruvius’s early perspectives regarding the education of an architect have impacted modern architectural education and learning.</w:t>
      </w:r>
    </w:p>
    <w:p w14:paraId="27157514" w14:textId="5DFA5170" w:rsidR="00B02245" w:rsidRDefault="00A6711E" w:rsidP="00D4343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Bani-Masoud</w:t>
      </w:r>
      <w:r w:rsidR="00187F9F" w:rsidRPr="00187F9F">
        <w:rPr>
          <w:rFonts w:ascii="Times New Roman" w:hAnsi="Times New Roman" w:cs="Times New Roman"/>
          <w:sz w:val="24"/>
          <w:szCs w:val="24"/>
          <w:lang w:val="en-US"/>
        </w:rPr>
        <w:t xml:space="preserve"> puts forward a solid argument based on substantial evidence that proves how much Vitruvius’s recommendations laid the foundation for several aspects concerning modern architectural education. To make his argument foolproof, he briefly explains how the existing knowledge of architecture at the time informed these recommendations from Vitruvius. For instance, he illustrates how existing Greek knowledge of optical color fusion informed Vitruvius’s recommendations regarding architectural drawing (</w:t>
      </w:r>
      <w:r>
        <w:rPr>
          <w:rFonts w:ascii="Times New Roman" w:hAnsi="Times New Roman" w:cs="Times New Roman"/>
          <w:sz w:val="24"/>
          <w:szCs w:val="24"/>
          <w:lang w:val="en-US"/>
        </w:rPr>
        <w:t>Bani-Masoud</w:t>
      </w:r>
      <w:r w:rsidR="00187F9F" w:rsidRPr="00187F9F">
        <w:rPr>
          <w:rFonts w:ascii="Times New Roman" w:hAnsi="Times New Roman" w:cs="Times New Roman"/>
          <w:sz w:val="24"/>
          <w:szCs w:val="24"/>
          <w:lang w:val="en-US"/>
        </w:rPr>
        <w:t>, 2016). However, little is mentioned concerning whether all the recommendations were entirely Vitruvius’s or some were contributed to by other individuals. Nonetheless, the author accurately captures how far architecture as a field of learning has come, by providing the reader with a description of architectural education in ancient times</w:t>
      </w:r>
      <w:r w:rsidR="00841147">
        <w:rPr>
          <w:rFonts w:ascii="Times New Roman" w:hAnsi="Times New Roman" w:cs="Times New Roman"/>
          <w:sz w:val="24"/>
          <w:szCs w:val="24"/>
          <w:lang w:val="en-US"/>
        </w:rPr>
        <w:t>,</w:t>
      </w:r>
      <w:r w:rsidR="00187F9F" w:rsidRPr="00187F9F">
        <w:rPr>
          <w:rFonts w:ascii="Times New Roman" w:hAnsi="Times New Roman" w:cs="Times New Roman"/>
          <w:sz w:val="24"/>
          <w:szCs w:val="24"/>
          <w:lang w:val="en-US"/>
        </w:rPr>
        <w:t xml:space="preserve"> which we can use as a template for comparison with modern models of architectural education.</w:t>
      </w:r>
    </w:p>
    <w:p w14:paraId="36324C93" w14:textId="77777777" w:rsidR="00D43431" w:rsidRDefault="00D43431" w:rsidP="00D4343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8BE5CF0" w14:textId="0AC156F9" w:rsidR="00B02245" w:rsidRDefault="00187F9F" w:rsidP="00D43431">
      <w:pPr>
        <w:spacing w:line="480" w:lineRule="auto"/>
        <w:jc w:val="center"/>
        <w:rPr>
          <w:rFonts w:ascii="Times New Roman" w:hAnsi="Times New Roman" w:cs="Times New Roman"/>
          <w:bCs/>
          <w:sz w:val="24"/>
          <w:szCs w:val="24"/>
          <w:lang w:val="en-US"/>
        </w:rPr>
      </w:pPr>
      <w:r w:rsidRPr="00187F9F">
        <w:rPr>
          <w:rFonts w:ascii="Times New Roman" w:hAnsi="Times New Roman" w:cs="Times New Roman"/>
          <w:bCs/>
          <w:sz w:val="24"/>
          <w:szCs w:val="24"/>
          <w:lang w:val="en-US"/>
        </w:rPr>
        <w:lastRenderedPageBreak/>
        <w:t>References</w:t>
      </w:r>
    </w:p>
    <w:p w14:paraId="55E76575" w14:textId="77777777" w:rsidR="00B02245" w:rsidRDefault="00B02245" w:rsidP="00D43431">
      <w:pPr>
        <w:spacing w:line="480" w:lineRule="auto"/>
        <w:ind w:left="720" w:hanging="720"/>
        <w:rPr>
          <w:rFonts w:ascii="Times New Roman" w:hAnsi="Times New Roman" w:cs="Times New Roman"/>
          <w:sz w:val="24"/>
          <w:szCs w:val="24"/>
          <w:lang w:val="en-US"/>
        </w:rPr>
      </w:pPr>
      <w:r w:rsidRPr="00187F9F">
        <w:rPr>
          <w:rFonts w:ascii="Times New Roman" w:hAnsi="Times New Roman" w:cs="Times New Roman"/>
          <w:sz w:val="24"/>
          <w:szCs w:val="24"/>
          <w:lang w:val="en-US"/>
        </w:rPr>
        <w:t>Bani-Masoud, A. (2016). Vitruvius and the Education of the Architect. </w:t>
      </w:r>
      <w:r w:rsidRPr="00187F9F">
        <w:rPr>
          <w:rFonts w:ascii="Times New Roman" w:hAnsi="Times New Roman" w:cs="Times New Roman"/>
          <w:i/>
          <w:iCs/>
          <w:sz w:val="24"/>
          <w:szCs w:val="24"/>
          <w:lang w:val="en-US"/>
        </w:rPr>
        <w:t>Journal of Architectural Engineering</w:t>
      </w:r>
      <w:r w:rsidRPr="00187F9F">
        <w:rPr>
          <w:rFonts w:ascii="Times New Roman" w:hAnsi="Times New Roman" w:cs="Times New Roman"/>
          <w:sz w:val="24"/>
          <w:szCs w:val="24"/>
          <w:lang w:val="en-US"/>
        </w:rPr>
        <w:t>, </w:t>
      </w:r>
      <w:r w:rsidRPr="00187F9F">
        <w:rPr>
          <w:rFonts w:ascii="Times New Roman" w:hAnsi="Times New Roman" w:cs="Times New Roman"/>
          <w:i/>
          <w:iCs/>
          <w:sz w:val="24"/>
          <w:szCs w:val="24"/>
          <w:lang w:val="en-US"/>
        </w:rPr>
        <w:t>22</w:t>
      </w:r>
      <w:r w:rsidRPr="00187F9F">
        <w:rPr>
          <w:rFonts w:ascii="Times New Roman" w:hAnsi="Times New Roman" w:cs="Times New Roman"/>
          <w:sz w:val="24"/>
          <w:szCs w:val="24"/>
          <w:lang w:val="en-US"/>
        </w:rPr>
        <w:t>(2), 02516001.</w:t>
      </w:r>
      <w:r w:rsidRPr="00A6711E">
        <w:t xml:space="preserve"> </w:t>
      </w:r>
      <w:r w:rsidRPr="00A6711E">
        <w:rPr>
          <w:rFonts w:ascii="Times New Roman" w:hAnsi="Times New Roman" w:cs="Times New Roman"/>
          <w:sz w:val="24"/>
          <w:szCs w:val="24"/>
        </w:rPr>
        <w:t>DOI: 10.1061/(ASCE)AE.1943-5568.0000187</w:t>
      </w:r>
      <w:r>
        <w:rPr>
          <w:rFonts w:ascii="Times New Roman" w:hAnsi="Times New Roman" w:cs="Times New Roman"/>
          <w:sz w:val="24"/>
          <w:szCs w:val="24"/>
          <w:lang w:val="en-US"/>
        </w:rPr>
        <w:t>.</w:t>
      </w:r>
    </w:p>
    <w:p w14:paraId="292C136B" w14:textId="77777777" w:rsidR="00B02245" w:rsidRPr="00187F9F" w:rsidRDefault="00B02245" w:rsidP="00D43431">
      <w:pPr>
        <w:spacing w:line="480" w:lineRule="auto"/>
        <w:ind w:left="720" w:hanging="720"/>
        <w:rPr>
          <w:rFonts w:ascii="Times New Roman" w:hAnsi="Times New Roman" w:cs="Times New Roman"/>
          <w:sz w:val="24"/>
          <w:szCs w:val="24"/>
          <w:lang w:val="en-US"/>
        </w:rPr>
      </w:pPr>
      <w:r w:rsidRPr="00187F9F">
        <w:rPr>
          <w:rFonts w:ascii="Times New Roman" w:hAnsi="Times New Roman" w:cs="Times New Roman"/>
          <w:sz w:val="24"/>
          <w:szCs w:val="24"/>
          <w:lang w:val="en-US"/>
        </w:rPr>
        <w:t xml:space="preserve">Riscica, M. (2021). Becoming an Architect: What You Need to Know. </w:t>
      </w:r>
      <w:r w:rsidRPr="00187F9F">
        <w:rPr>
          <w:rFonts w:ascii="Times New Roman" w:hAnsi="Times New Roman" w:cs="Times New Roman"/>
          <w:i/>
          <w:sz w:val="24"/>
          <w:szCs w:val="24"/>
          <w:lang w:val="en-US"/>
        </w:rPr>
        <w:t>Young Architect</w:t>
      </w:r>
      <w:r w:rsidRPr="00187F9F">
        <w:rPr>
          <w:rFonts w:ascii="Times New Roman" w:hAnsi="Times New Roman" w:cs="Times New Roman"/>
          <w:sz w:val="24"/>
          <w:szCs w:val="24"/>
          <w:lang w:val="en-US"/>
        </w:rPr>
        <w:t xml:space="preserve">. </w:t>
      </w:r>
      <w:hyperlink r:id="rId6" w:history="1">
        <w:r w:rsidRPr="00187F9F">
          <w:rPr>
            <w:rStyle w:val="Hyperlink"/>
            <w:rFonts w:ascii="Times New Roman" w:hAnsi="Times New Roman" w:cs="Times New Roman"/>
            <w:sz w:val="24"/>
            <w:szCs w:val="24"/>
            <w:lang w:val="en-US"/>
          </w:rPr>
          <w:t>https://youngarchitect.com/becoming-an-architect/</w:t>
        </w:r>
      </w:hyperlink>
    </w:p>
    <w:sectPr w:rsidR="00B02245" w:rsidRPr="00187F9F" w:rsidSect="00187F9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98C2F3" w14:textId="77777777" w:rsidR="007946FA" w:rsidRDefault="007946FA" w:rsidP="00187F9F">
      <w:pPr>
        <w:spacing w:after="0" w:line="240" w:lineRule="auto"/>
      </w:pPr>
      <w:r>
        <w:separator/>
      </w:r>
    </w:p>
  </w:endnote>
  <w:endnote w:type="continuationSeparator" w:id="0">
    <w:p w14:paraId="44205149" w14:textId="77777777" w:rsidR="007946FA" w:rsidRDefault="007946FA" w:rsidP="0018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A4218" w14:textId="77777777" w:rsidR="007946FA" w:rsidRDefault="007946FA" w:rsidP="00187F9F">
      <w:pPr>
        <w:spacing w:after="0" w:line="240" w:lineRule="auto"/>
      </w:pPr>
      <w:r>
        <w:separator/>
      </w:r>
    </w:p>
  </w:footnote>
  <w:footnote w:type="continuationSeparator" w:id="0">
    <w:p w14:paraId="5F3ED9E2" w14:textId="77777777" w:rsidR="007946FA" w:rsidRDefault="007946FA" w:rsidP="00187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2060082098"/>
      <w:docPartObj>
        <w:docPartGallery w:val="Page Numbers (Top of Page)"/>
        <w:docPartUnique/>
      </w:docPartObj>
    </w:sdtPr>
    <w:sdtEndPr>
      <w:rPr>
        <w:noProof/>
      </w:rPr>
    </w:sdtEndPr>
    <w:sdtContent>
      <w:p w14:paraId="552D3461" w14:textId="684CA6F8" w:rsidR="00187F9F" w:rsidRPr="00187F9F" w:rsidRDefault="00187F9F" w:rsidP="00187F9F">
        <w:pPr>
          <w:pStyle w:val="Header"/>
          <w:jc w:val="right"/>
          <w:rPr>
            <w:rFonts w:ascii="Times New Roman" w:hAnsi="Times New Roman" w:cs="Times New Roman"/>
            <w:sz w:val="20"/>
            <w:szCs w:val="20"/>
          </w:rPr>
        </w:pPr>
        <w:r w:rsidRPr="00187F9F">
          <w:rPr>
            <w:rFonts w:ascii="Times New Roman" w:hAnsi="Times New Roman" w:cs="Times New Roman"/>
            <w:bCs/>
            <w:sz w:val="20"/>
            <w:szCs w:val="20"/>
            <w:lang w:val="en-KE"/>
          </w:rPr>
          <w:t>READING RESPONSE ON "VITRUVIUS AND THE EDUCATION OF THE ARCHITECT"</w:t>
        </w:r>
        <w:r w:rsidRPr="00187F9F">
          <w:rPr>
            <w:rFonts w:ascii="Times New Roman" w:hAnsi="Times New Roman" w:cs="Times New Roman"/>
            <w:bCs/>
            <w:sz w:val="20"/>
            <w:szCs w:val="20"/>
            <w:lang w:val="en-KE"/>
          </w:rPr>
          <w:tab/>
        </w:r>
        <w:r w:rsidRPr="00187F9F">
          <w:rPr>
            <w:rFonts w:ascii="Times New Roman" w:hAnsi="Times New Roman" w:cs="Times New Roman"/>
            <w:sz w:val="20"/>
            <w:szCs w:val="20"/>
          </w:rPr>
          <w:fldChar w:fldCharType="begin"/>
        </w:r>
        <w:r w:rsidRPr="00187F9F">
          <w:rPr>
            <w:rFonts w:ascii="Times New Roman" w:hAnsi="Times New Roman" w:cs="Times New Roman"/>
            <w:sz w:val="20"/>
            <w:szCs w:val="20"/>
          </w:rPr>
          <w:instrText xml:space="preserve"> PAGE   \* MERGEFORMAT </w:instrText>
        </w:r>
        <w:r w:rsidRPr="00187F9F">
          <w:rPr>
            <w:rFonts w:ascii="Times New Roman" w:hAnsi="Times New Roman" w:cs="Times New Roman"/>
            <w:sz w:val="20"/>
            <w:szCs w:val="20"/>
          </w:rPr>
          <w:fldChar w:fldCharType="separate"/>
        </w:r>
        <w:r w:rsidRPr="00187F9F">
          <w:rPr>
            <w:rFonts w:ascii="Times New Roman" w:hAnsi="Times New Roman" w:cs="Times New Roman"/>
            <w:noProof/>
            <w:sz w:val="20"/>
            <w:szCs w:val="20"/>
          </w:rPr>
          <w:t>2</w:t>
        </w:r>
        <w:r w:rsidRPr="00187F9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420381048"/>
      <w:docPartObj>
        <w:docPartGallery w:val="Page Numbers (Top of Page)"/>
        <w:docPartUnique/>
      </w:docPartObj>
    </w:sdtPr>
    <w:sdtEndPr>
      <w:rPr>
        <w:noProof/>
      </w:rPr>
    </w:sdtEndPr>
    <w:sdtContent>
      <w:p w14:paraId="0CB6722C" w14:textId="3A3C9576" w:rsidR="00187F9F" w:rsidRPr="00187F9F" w:rsidRDefault="00187F9F" w:rsidP="00187F9F">
        <w:pPr>
          <w:pStyle w:val="Header"/>
          <w:jc w:val="right"/>
          <w:rPr>
            <w:rFonts w:ascii="Times New Roman" w:hAnsi="Times New Roman" w:cs="Times New Roman"/>
            <w:sz w:val="20"/>
            <w:szCs w:val="20"/>
          </w:rPr>
        </w:pPr>
        <w:r w:rsidRPr="00187F9F">
          <w:rPr>
            <w:rFonts w:ascii="Times New Roman" w:hAnsi="Times New Roman" w:cs="Times New Roman"/>
            <w:sz w:val="20"/>
            <w:szCs w:val="20"/>
            <w:lang w:val="en-US"/>
          </w:rPr>
          <w:t xml:space="preserve">Running head: </w:t>
        </w:r>
        <w:r w:rsidRPr="00187F9F">
          <w:rPr>
            <w:rFonts w:ascii="Times New Roman" w:hAnsi="Times New Roman" w:cs="Times New Roman"/>
            <w:bCs/>
            <w:sz w:val="20"/>
            <w:szCs w:val="20"/>
            <w:lang w:val="en-KE"/>
          </w:rPr>
          <w:t>READING RESPONSE ON "VITRUVIUS AND THE EDUCATION OF THE ARCHITECT"</w:t>
        </w:r>
        <w:r>
          <w:rPr>
            <w:rFonts w:ascii="Times New Roman" w:hAnsi="Times New Roman" w:cs="Times New Roman"/>
            <w:bCs/>
            <w:sz w:val="20"/>
            <w:szCs w:val="20"/>
            <w:lang w:val="en-KE"/>
          </w:rPr>
          <w:tab/>
        </w:r>
        <w:r w:rsidRPr="00187F9F">
          <w:rPr>
            <w:rFonts w:ascii="Times New Roman" w:hAnsi="Times New Roman" w:cs="Times New Roman"/>
            <w:sz w:val="20"/>
            <w:szCs w:val="20"/>
          </w:rPr>
          <w:fldChar w:fldCharType="begin"/>
        </w:r>
        <w:r w:rsidRPr="00187F9F">
          <w:rPr>
            <w:rFonts w:ascii="Times New Roman" w:hAnsi="Times New Roman" w:cs="Times New Roman"/>
            <w:sz w:val="20"/>
            <w:szCs w:val="20"/>
          </w:rPr>
          <w:instrText xml:space="preserve"> PAGE   \* MERGEFORMAT </w:instrText>
        </w:r>
        <w:r w:rsidRPr="00187F9F">
          <w:rPr>
            <w:rFonts w:ascii="Times New Roman" w:hAnsi="Times New Roman" w:cs="Times New Roman"/>
            <w:sz w:val="20"/>
            <w:szCs w:val="20"/>
          </w:rPr>
          <w:fldChar w:fldCharType="separate"/>
        </w:r>
        <w:r w:rsidRPr="00187F9F">
          <w:rPr>
            <w:rFonts w:ascii="Times New Roman" w:hAnsi="Times New Roman" w:cs="Times New Roman"/>
            <w:noProof/>
            <w:sz w:val="20"/>
            <w:szCs w:val="20"/>
          </w:rPr>
          <w:t>2</w:t>
        </w:r>
        <w:r w:rsidRPr="00187F9F">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MzSwtLQwMLKwNDJR0lEKTi0uzszPAykwrAUAxIDX0SwAAAA="/>
  </w:docVars>
  <w:rsids>
    <w:rsidRoot w:val="00187F9F"/>
    <w:rsid w:val="00187F9F"/>
    <w:rsid w:val="00735DE8"/>
    <w:rsid w:val="007946FA"/>
    <w:rsid w:val="00841147"/>
    <w:rsid w:val="00A6711E"/>
    <w:rsid w:val="00B02245"/>
    <w:rsid w:val="00D43431"/>
    <w:rsid w:val="00EF77F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24BD8"/>
  <w15:chartTrackingRefBased/>
  <w15:docId w15:val="{0DDE1940-B5D4-4787-9CE4-9BE9F990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F9F"/>
    <w:rPr>
      <w:color w:val="0563C1" w:themeColor="hyperlink"/>
      <w:u w:val="single"/>
    </w:rPr>
  </w:style>
  <w:style w:type="character" w:styleId="UnresolvedMention">
    <w:name w:val="Unresolved Mention"/>
    <w:basedOn w:val="DefaultParagraphFont"/>
    <w:uiPriority w:val="99"/>
    <w:semiHidden/>
    <w:unhideWhenUsed/>
    <w:rsid w:val="00187F9F"/>
    <w:rPr>
      <w:color w:val="605E5C"/>
      <w:shd w:val="clear" w:color="auto" w:fill="E1DFDD"/>
    </w:rPr>
  </w:style>
  <w:style w:type="paragraph" w:styleId="Header">
    <w:name w:val="header"/>
    <w:basedOn w:val="Normal"/>
    <w:link w:val="HeaderChar"/>
    <w:uiPriority w:val="99"/>
    <w:unhideWhenUsed/>
    <w:rsid w:val="00187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F9F"/>
  </w:style>
  <w:style w:type="paragraph" w:styleId="Footer">
    <w:name w:val="footer"/>
    <w:basedOn w:val="Normal"/>
    <w:link w:val="FooterChar"/>
    <w:uiPriority w:val="99"/>
    <w:unhideWhenUsed/>
    <w:rsid w:val="00187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64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ngarchitect.com/becoming-an-archite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2021-01-27T22:44:00Z</dcterms:created>
  <dcterms:modified xsi:type="dcterms:W3CDTF">2021-01-27T23:00:00Z</dcterms:modified>
</cp:coreProperties>
</file>